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</w:tcPr>
          <w:p w:rsidR="00BB082B" w:rsidRPr="004F2FB9" w:rsidRDefault="00BB082B" w:rsidP="00842E06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BB082B" w:rsidRPr="001B7488" w:rsidRDefault="00B66928" w:rsidP="00BB0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BB082B" w:rsidRPr="00B5168D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1876FE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BB082B" w:rsidRPr="001876FE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Pr="00930FA8" w:rsidRDefault="00BB082B" w:rsidP="00BB082B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BB082B" w:rsidRPr="004F2FB9" w:rsidRDefault="00BB082B" w:rsidP="00D02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BB082B" w:rsidRPr="00930FA8" w:rsidTr="00BB082B">
        <w:tc>
          <w:tcPr>
            <w:tcW w:w="3119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.г.</w:t>
            </w:r>
          </w:p>
          <w:p w:rsidR="00BB082B" w:rsidRPr="00930FA8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BB082B" w:rsidRPr="00930FA8" w:rsidRDefault="00BB082B" w:rsidP="00BB082B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B082B" w:rsidRPr="00930FA8" w:rsidTr="00BB082B">
        <w:trPr>
          <w:trHeight w:val="2663"/>
        </w:trPr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 составляет 4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руб., в том числе: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 – 4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- 2022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00,0 тыс. руб. </w:t>
            </w:r>
          </w:p>
          <w:p w:rsidR="00BB082B" w:rsidRPr="008A3C93" w:rsidRDefault="00BB082B" w:rsidP="00BB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600,0 тыс. руб.</w:t>
            </w:r>
          </w:p>
          <w:p w:rsidR="00BB082B" w:rsidRPr="001B7488" w:rsidRDefault="00BB082B" w:rsidP="008A3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</w:t>
            </w:r>
            <w:r w:rsidR="00EC6184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500,0 тыс.руб.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</w:t>
            </w:r>
          </w:p>
        </w:tc>
        <w:tc>
          <w:tcPr>
            <w:tcW w:w="6912" w:type="dxa"/>
          </w:tcPr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муниц</w:t>
            </w:r>
            <w:r w:rsid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ипальной программы составляет–</w:t>
            </w:r>
            <w:r w:rsidR="00AF6C50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F6C50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</w:t>
            </w:r>
            <w:r w:rsidR="00AF6C50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B143F" w:rsidRPr="008B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тыс.руб., в том числе: бюджет Находкинского городского округа – </w:t>
            </w:r>
          </w:p>
          <w:p w:rsidR="00BB082B" w:rsidRPr="008A3C93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D02CBA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2CBA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D02CBA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A3C93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8B143F" w:rsidRPr="00A86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2CBA"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B143F" w:rsidRPr="00A86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</w:t>
            </w:r>
          </w:p>
          <w:p w:rsidR="00BB082B" w:rsidRPr="008A3C93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- 64 733,72 тыс.руб.</w:t>
            </w:r>
          </w:p>
          <w:p w:rsidR="00BB082B" w:rsidRPr="008A3C93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- 64 733,72 тыс.руб.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тыс.руб.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тыс.руб.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тыс.руб.;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тыс.руб. 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0,00 тыс.руб.</w:t>
            </w:r>
          </w:p>
          <w:p w:rsidR="00BB082B" w:rsidRPr="001B748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</w:tc>
      </w:tr>
      <w:tr w:rsidR="00BB082B" w:rsidRPr="00930FA8" w:rsidTr="00BB082B">
        <w:tc>
          <w:tcPr>
            <w:tcW w:w="3119" w:type="dxa"/>
            <w:vAlign w:val="center"/>
            <w:hideMark/>
          </w:tcPr>
          <w:p w:rsidR="00BB082B" w:rsidRPr="00930FA8" w:rsidRDefault="00BB082B" w:rsidP="00BB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BB082B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 составит к 2024 г. - 100%</w:t>
            </w:r>
          </w:p>
          <w:p w:rsidR="00BB082B" w:rsidRPr="00930FA8" w:rsidRDefault="00BB082B" w:rsidP="00BB08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озеленением составит к 2024 г. - 100%</w:t>
            </w:r>
          </w:p>
          <w:p w:rsidR="00BB082B" w:rsidRPr="00930FA8" w:rsidRDefault="00BB082B" w:rsidP="008B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восстановленных и (или) замененных элементов благоустройства составит </w:t>
            </w:r>
            <w:r w:rsid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143F" w:rsidRPr="008B14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 2024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вандальных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Памятнике Победы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3352CD" w:rsidRDefault="003352CD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647E1F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647E1F">
        <w:trPr>
          <w:trHeight w:val="642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285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леерных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уходные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уходные работы (прополка, рыхление, полив, уборка отцветших растений);  уходные работы (прополка, рыхление, формовочная обрезка) за декоративным кустарником, высаженным на территориях общего пользования;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леерного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050E72" w:rsidRDefault="00050E72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50E72" w:rsidRDefault="00050E72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муниципальной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Iцiфакт - фактическое значение i-го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Iцiплан - плановое значение i-го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При использовании данной формулы в случаях, если Iцi больше 1, значение Iцi принимается равным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</w:t>
      </w:r>
      <w:r w:rsidR="00B443D8" w:rsidRPr="00A4718A">
        <w:rPr>
          <w:rFonts w:ascii="Times New Roman" w:hAnsi="Times New Roman" w:cs="Times New Roman"/>
          <w:sz w:val="26"/>
          <w:szCs w:val="26"/>
        </w:rPr>
        <w:t>цi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=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= Мв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Мр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Мв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от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 Э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A8693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BB082B">
          <w:headerReference w:type="default" r:id="rId14"/>
          <w:pgSz w:w="11906" w:h="16838"/>
          <w:pgMar w:top="678" w:right="567" w:bottom="567" w:left="1276" w:header="397" w:footer="397" w:gutter="0"/>
          <w:cols w:space="708"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7F3835" w:rsidRPr="007F3835" w:rsidTr="00BF5629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8B143F" w:rsidRDefault="008B143F" w:rsidP="00B1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8B143F" w:rsidRDefault="008B143F" w:rsidP="007F3835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8B143F" w:rsidRDefault="008B143F" w:rsidP="007F3835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8B143F" w:rsidRDefault="008B143F" w:rsidP="007F3835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3835" w:rsidRPr="008B143F" w:rsidRDefault="008B143F" w:rsidP="007F3835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337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3118"/>
        <w:gridCol w:w="1276"/>
        <w:gridCol w:w="1134"/>
        <w:gridCol w:w="1134"/>
        <w:gridCol w:w="1145"/>
      </w:tblGrid>
      <w:tr w:rsidR="007012C9" w:rsidRPr="007F3835" w:rsidTr="000652EF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012C9" w:rsidRPr="007F3835" w:rsidTr="000652EF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012C9" w:rsidRPr="007F3835" w:rsidTr="00AB7D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2021-2024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7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5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22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8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7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 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5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>
              <w:rPr>
                <w:rFonts w:ascii="Times New Roman" w:hAnsi="Times New Roman"/>
                <w:sz w:val="24"/>
                <w:szCs w:val="24"/>
              </w:rPr>
              <w:t>8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8A4B99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C10F14" w:rsidRDefault="00896FAA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C10F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B17B1C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D645B4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7374C8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0652EF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7374C8">
        <w:trPr>
          <w:trHeight w:val="152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164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7374C8">
        <w:trPr>
          <w:trHeight w:val="178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5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vMerge w:val="restart"/>
          </w:tcPr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7012C9" w:rsidRPr="004B0CCB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Pr="004B0CCB" w:rsidRDefault="007012C9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rPr>
          <w:trHeight w:val="2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rPr>
          <w:trHeight w:val="71"/>
        </w:trPr>
        <w:tc>
          <w:tcPr>
            <w:tcW w:w="708" w:type="dxa"/>
            <w:vMerge w:val="restart"/>
            <w:hideMark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vMerge w:val="restart"/>
          </w:tcPr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4C0A3E" w:rsidRPr="004B0CCB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Pr="004B0CCB" w:rsidRDefault="004C0A3E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A3E" w:rsidRPr="007F3835" w:rsidRDefault="00C10F14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rPr>
          <w:trHeight w:val="281"/>
        </w:trPr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4C0A3E" w:rsidRPr="007F3835" w:rsidRDefault="00C10F14" w:rsidP="004C0A3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928" w:rsidRDefault="00050E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(тыс.руб.) «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2128"/>
        <w:gridCol w:w="850"/>
        <w:gridCol w:w="851"/>
        <w:gridCol w:w="1559"/>
        <w:gridCol w:w="992"/>
        <w:gridCol w:w="992"/>
        <w:gridCol w:w="992"/>
        <w:gridCol w:w="992"/>
        <w:gridCol w:w="709"/>
      </w:tblGrid>
      <w:tr w:rsidR="007012C9" w:rsidRPr="00983526" w:rsidTr="007012C9">
        <w:trPr>
          <w:trHeight w:val="253"/>
        </w:trPr>
        <w:tc>
          <w:tcPr>
            <w:tcW w:w="709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396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4252" w:type="dxa"/>
            <w:gridSpan w:val="4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3685" w:type="dxa"/>
            <w:gridSpan w:val="4"/>
            <w:vAlign w:val="center"/>
          </w:tcPr>
          <w:p w:rsidR="007012C9" w:rsidRPr="00983526" w:rsidRDefault="007012C9" w:rsidP="00AD617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Расходы (тыс.руб.), г</w:t>
            </w: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оды</w:t>
            </w:r>
          </w:p>
        </w:tc>
      </w:tr>
      <w:tr w:rsidR="007012C9" w:rsidRPr="00983526" w:rsidTr="007012C9">
        <w:tc>
          <w:tcPr>
            <w:tcW w:w="709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96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12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</w:p>
        </w:tc>
        <w:tc>
          <w:tcPr>
            <w:tcW w:w="1559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92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212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0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012C9" w:rsidRPr="00983526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968" w:type="dxa"/>
          </w:tcPr>
          <w:p w:rsidR="007012C9" w:rsidRPr="004A4A7F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143F" w:rsidRDefault="007012C9" w:rsidP="008B143F">
            <w:pPr>
              <w:adjustRightInd w:val="0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4A4A7F">
              <w:rPr>
                <w:rFonts w:ascii="Times New Roman" w:hAnsi="Times New Roman"/>
              </w:rPr>
              <w:t>7</w:t>
            </w:r>
            <w:r w:rsidR="008A3C93">
              <w:rPr>
                <w:rFonts w:ascii="Times New Roman" w:hAnsi="Times New Roman"/>
              </w:rPr>
              <w:t>9</w:t>
            </w:r>
            <w:r w:rsidRPr="004A4A7F">
              <w:rPr>
                <w:rFonts w:ascii="Times New Roman" w:hAnsi="Times New Roman"/>
              </w:rPr>
              <w:t> </w:t>
            </w:r>
            <w:r w:rsidR="008B143F">
              <w:rPr>
                <w:rFonts w:ascii="Times New Roman" w:hAnsi="Times New Roman"/>
                <w:lang w:val="en-US"/>
              </w:rPr>
              <w:t>131</w:t>
            </w:r>
            <w:r w:rsidRPr="004A4A7F">
              <w:rPr>
                <w:rFonts w:ascii="Times New Roman" w:hAnsi="Times New Roman"/>
              </w:rPr>
              <w:t>,</w:t>
            </w:r>
            <w:r w:rsidR="008B143F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64733,72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64733,72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143F" w:rsidRDefault="007012C9" w:rsidP="008B143F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 w:rsidRPr="004A4A7F">
              <w:rPr>
                <w:rFonts w:ascii="Times New Roman" w:hAnsi="Times New Roman"/>
              </w:rPr>
              <w:t>37</w:t>
            </w:r>
            <w:r w:rsidR="00E12CB9">
              <w:rPr>
                <w:rFonts w:ascii="Times New Roman" w:hAnsi="Times New Roman"/>
              </w:rPr>
              <w:t> </w:t>
            </w:r>
            <w:r w:rsidRPr="004A4A7F">
              <w:rPr>
                <w:rFonts w:ascii="Times New Roman" w:hAnsi="Times New Roman"/>
              </w:rPr>
              <w:t>9</w:t>
            </w:r>
            <w:r w:rsidR="00E12CB9">
              <w:rPr>
                <w:rFonts w:ascii="Times New Roman" w:hAnsi="Times New Roman"/>
              </w:rPr>
              <w:t>77,</w:t>
            </w:r>
            <w:r w:rsidR="008B143F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38000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38000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4A4A7F" w:rsidTr="007012C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 и мест общего пользования Находкинского городского округа</w:t>
            </w: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E12CB9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</w:t>
            </w:r>
            <w:r w:rsidR="00E12CB9">
              <w:rPr>
                <w:rFonts w:ascii="Times New Roman" w:hAnsi="Times New Roman"/>
              </w:rPr>
              <w:t>9</w:t>
            </w:r>
            <w:r w:rsidRPr="004A4A7F">
              <w:rPr>
                <w:rFonts w:ascii="Times New Roman" w:hAnsi="Times New Roman"/>
              </w:rPr>
              <w:t xml:space="preserve"> 533,72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23133,72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23133,72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AD6170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968" w:type="dxa"/>
          </w:tcPr>
          <w:p w:rsidR="007012C9" w:rsidRPr="00AD3E16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992" w:type="dxa"/>
            <w:vAlign w:val="center"/>
          </w:tcPr>
          <w:p w:rsidR="007012C9" w:rsidRPr="00AD3E16" w:rsidRDefault="007012C9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867E59">
        <w:tc>
          <w:tcPr>
            <w:tcW w:w="709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012C9" w:rsidRPr="004A4A7F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аварийных деревьев</w:t>
            </w:r>
          </w:p>
        </w:tc>
        <w:tc>
          <w:tcPr>
            <w:tcW w:w="2128" w:type="dxa"/>
          </w:tcPr>
          <w:p w:rsidR="007012C9" w:rsidRPr="004A4A7F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2590143100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</w:t>
            </w:r>
            <w:r w:rsidR="00E12CB9">
              <w:rPr>
                <w:rFonts w:ascii="Times New Roman" w:hAnsi="Times New Roman"/>
              </w:rPr>
              <w:t> 362,5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7012C9" w:rsidRPr="004A4A7F" w:rsidRDefault="007012C9" w:rsidP="00867E59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8" w:type="dxa"/>
          </w:tcPr>
          <w:p w:rsidR="007012C9" w:rsidRPr="00AD3E16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128" w:type="dxa"/>
          </w:tcPr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7012C9" w:rsidRPr="00AD3E1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7012C9" w:rsidRPr="00DF0B0E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7012C9" w:rsidRPr="00FA39A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7012C9" w:rsidRPr="00DF0B0E" w:rsidRDefault="007012C9" w:rsidP="00AD6170">
            <w:pPr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992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7012C9" w:rsidRPr="008B64DA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7012C9" w:rsidRPr="00983526" w:rsidTr="007012C9">
        <w:tc>
          <w:tcPr>
            <w:tcW w:w="709" w:type="dxa"/>
          </w:tcPr>
          <w:p w:rsidR="007012C9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3968" w:type="dxa"/>
          </w:tcPr>
          <w:p w:rsidR="007012C9" w:rsidRPr="00AE498C" w:rsidRDefault="000652EF" w:rsidP="000652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8" w:type="dxa"/>
          </w:tcPr>
          <w:p w:rsidR="007012C9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:rsidR="007012C9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012C9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012C9" w:rsidRPr="00FA39AC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012C9" w:rsidRPr="00AD3E16" w:rsidRDefault="000652EF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7012C9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652EF" w:rsidRPr="00983526" w:rsidTr="007012C9">
        <w:tc>
          <w:tcPr>
            <w:tcW w:w="709" w:type="dxa"/>
          </w:tcPr>
          <w:p w:rsidR="000652EF" w:rsidRDefault="000652EF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968" w:type="dxa"/>
          </w:tcPr>
          <w:p w:rsidR="000652EF" w:rsidRPr="00AE498C" w:rsidRDefault="000652EF" w:rsidP="008B143F">
            <w:pPr>
              <w:rPr>
                <w:rFonts w:ascii="Times New Roman" w:hAnsi="Times New Roman"/>
                <w:sz w:val="24"/>
              </w:rPr>
            </w:pPr>
            <w:r w:rsidRPr="00FA6C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Закупка и установка скамеек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 урн и мусорных контейнеров</w:t>
            </w:r>
          </w:p>
        </w:tc>
        <w:tc>
          <w:tcPr>
            <w:tcW w:w="2128" w:type="dxa"/>
          </w:tcPr>
          <w:p w:rsidR="000652EF" w:rsidRPr="00983526" w:rsidRDefault="000652EF" w:rsidP="008B143F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0652EF" w:rsidRPr="00983526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983526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Pr="00FA39AC" w:rsidRDefault="000652EF" w:rsidP="008B1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0652EF" w:rsidRPr="00AD3E16" w:rsidRDefault="000652EF" w:rsidP="008B1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8B64DA" w:rsidRDefault="000652EF" w:rsidP="008B143F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0652EF" w:rsidRPr="00983526" w:rsidTr="007012C9">
        <w:tc>
          <w:tcPr>
            <w:tcW w:w="709" w:type="dxa"/>
          </w:tcPr>
          <w:p w:rsidR="000652EF" w:rsidRPr="004A4A7F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8" w:type="dxa"/>
          </w:tcPr>
          <w:p w:rsidR="000652EF" w:rsidRPr="004A4A7F" w:rsidRDefault="000652EF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128" w:type="dxa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Pr="004A4A7F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992" w:type="dxa"/>
            <w:vAlign w:val="center"/>
          </w:tcPr>
          <w:p w:rsidR="000652EF" w:rsidRPr="004A4A7F" w:rsidRDefault="000652EF" w:rsidP="00AD6170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1657,17</w:t>
            </w:r>
          </w:p>
        </w:tc>
        <w:tc>
          <w:tcPr>
            <w:tcW w:w="992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4A4A7F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</w:t>
            </w:r>
          </w:p>
        </w:tc>
      </w:tr>
      <w:tr w:rsidR="000652EF" w:rsidRPr="00983526" w:rsidTr="007012C9">
        <w:tc>
          <w:tcPr>
            <w:tcW w:w="709" w:type="dxa"/>
            <w:vAlign w:val="center"/>
          </w:tcPr>
          <w:p w:rsidR="000652EF" w:rsidRPr="00CB6AA7" w:rsidRDefault="000652EF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3968" w:type="dxa"/>
          </w:tcPr>
          <w:p w:rsidR="000652EF" w:rsidRPr="00620A1A" w:rsidRDefault="000652EF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наследия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муниципального) значения</w:t>
            </w:r>
          </w:p>
        </w:tc>
        <w:tc>
          <w:tcPr>
            <w:tcW w:w="2128" w:type="dxa"/>
          </w:tcPr>
          <w:p w:rsidR="000652EF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0652EF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983526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Pr="00983526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0652EF" w:rsidRPr="00AD3E16" w:rsidRDefault="000652EF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8B64DA">
              <w:rPr>
                <w:rFonts w:ascii="Times New Roman" w:hAnsi="Times New Roman"/>
              </w:rPr>
              <w:t>0</w:t>
            </w:r>
          </w:p>
        </w:tc>
      </w:tr>
      <w:tr w:rsidR="000652EF" w:rsidRPr="00983526" w:rsidTr="007012C9">
        <w:tc>
          <w:tcPr>
            <w:tcW w:w="709" w:type="dxa"/>
            <w:vAlign w:val="center"/>
          </w:tcPr>
          <w:p w:rsidR="000652EF" w:rsidRDefault="000652EF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3968" w:type="dxa"/>
          </w:tcPr>
          <w:p w:rsidR="000652EF" w:rsidRPr="00C10F14" w:rsidRDefault="000652EF" w:rsidP="00AD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</w:tc>
        <w:tc>
          <w:tcPr>
            <w:tcW w:w="2128" w:type="dxa"/>
          </w:tcPr>
          <w:p w:rsidR="000652EF" w:rsidRPr="00983526" w:rsidRDefault="000652EF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0652EF" w:rsidRPr="00983526" w:rsidRDefault="000652EF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1" w:type="dxa"/>
            <w:vAlign w:val="center"/>
          </w:tcPr>
          <w:p w:rsidR="000652EF" w:rsidRPr="00983526" w:rsidRDefault="000652EF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  <w:vAlign w:val="center"/>
          </w:tcPr>
          <w:p w:rsidR="000652EF" w:rsidRDefault="000652EF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992" w:type="dxa"/>
            <w:vAlign w:val="center"/>
          </w:tcPr>
          <w:p w:rsidR="000652EF" w:rsidRDefault="000652EF" w:rsidP="00AD6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652EF" w:rsidRPr="008B64DA" w:rsidRDefault="000652EF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AD6170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409"/>
      </w:tblGrid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CD7B3D" w:rsidRPr="007F3835" w:rsidTr="00AD6170">
        <w:trPr>
          <w:cantSplit/>
          <w:trHeight w:val="557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AD6170">
        <w:trPr>
          <w:trHeight w:val="57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CD7B3D" w:rsidRPr="007F3835" w:rsidTr="00AD6170">
        <w:trPr>
          <w:trHeight w:val="211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CD7B3D" w:rsidP="008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1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CD7B3D" w:rsidRPr="007F3835" w:rsidTr="00AD6170">
        <w:trPr>
          <w:trHeight w:val="214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08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166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объектов, обеспеченных газоснабжением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6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Санитарная обрезка деревьев, валка аварийных деревьев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23068A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7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23068A" w:rsidRDefault="00CD7B3D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259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3D" w:rsidRPr="001B2862" w:rsidRDefault="00CD7B3D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CD7B3D" w:rsidRPr="007F3835" w:rsidTr="00AD6170">
        <w:trPr>
          <w:trHeight w:val="27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</w:t>
            </w:r>
          </w:p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CD7B3D" w:rsidRPr="001B2862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B17B1C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1B2862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B2" w:rsidRDefault="00E030B2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CD7B3D" w:rsidRPr="007F3835" w:rsidTr="00AD6170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скамеек,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8A3C93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AD6170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мероприятий с оформлением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3D" w:rsidRPr="007F3835" w:rsidTr="006B46F6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CD7B3D" w:rsidRPr="007F3835" w:rsidRDefault="00CD7B3D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местного (муниципального) значения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CD7B3D" w:rsidRPr="007F3835" w:rsidRDefault="00CD7B3D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8B143F" w:rsidRDefault="008B143F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6F6" w:rsidRPr="007F3835" w:rsidTr="00AD6170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6B46F6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6B46F6" w:rsidP="00AD61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526B3B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Default="00CF768E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1508E9" w:rsidRDefault="001508E9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1508E9" w:rsidRDefault="001508E9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1508E9" w:rsidRDefault="001508E9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6" w:rsidRPr="007F3835" w:rsidRDefault="006B46F6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подпрограмме.»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**Количество территорий, на которых и содержание и озеленение, учитывается в обоих показателях.</w:t>
      </w:r>
    </w:p>
    <w:p w:rsidR="007F3835" w:rsidRPr="007F3835" w:rsidRDefault="007F3835" w:rsidP="007F3835"/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 №1093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объектов, видовых площадок, скверов, памятных мест, 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7F3835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погибшим партизанам  в 1918 - 1922 г.г.,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7F3835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7F3835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7F3835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Малиновского,2а-2, 18 м на восток от жилого дома по ул.Малиновского,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7F3835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 Мира  до Низменного переулка, 35 ),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7F3835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 бульвар, 22 м на юго-восток от здания ТЦ по Озерному б-ру,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пр.,14 - Школьная,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7F3835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7F3835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ул.Ленинская,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7F3835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Владивостокская,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7F3835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7F3835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7F3835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ЗАГСу,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7F3835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7F3835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7F3835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7F3835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Спортивная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7F3835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7F3835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Пирогова в районе а/остановки "стадион "Приморец"/,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7F3835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7F3835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Перевальная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7F3835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 /разворотное кольцо/, расположенный по Находкинскому пр. в районе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7F3835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7F3835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 районе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7F3835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7F3835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7F3835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7F3835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Прилегающая территория у Памятника Победы в Великой Отечественной войне 1941 - 1945 г.г.,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7F3835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от центральной площади до поворота на мыс Шефнера, 125 м на северо-восток от здания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0652EF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F3835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 Центральной площади, 27 м на северо-восток от здания 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5128F1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7F3835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 ул. Гагарина, 13 - ул. Гагарина, 15, 12 м на юго- запад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7F3835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7F3835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7F3835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села Ливадия, павшим в годы Великой отечественной войны 1941 - 1945 г.г.,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7F3835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7F3835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автовокзала, 20 м на северо-запад от жилого дома по ул. Пограничная,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7F3835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монумента жителям села Анна, павшим в сражениях Великой Отечественной войны 1941 - 1945 г.г.,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7F3835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проспект, 9, 12 м на восток от жилого дома по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7F3835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пр., 11 - 17, 19 м на юго-восток от жилого дома по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7F3835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"Каскад"  Восточный пр., 33, 10 м на юг от жилого дома по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0865C0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642343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поселка Врангель, павшим в сражениях Великой Отечественной войны 1941 - 1945 г.г.,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0865C0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 Находка, пляж Волна, 450 м на юго-восток от санатория по ул.Шоссейной,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0865C0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0865C0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0865C0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ул.Свердлова,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ул.Верхне-Морская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0865C0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0865C0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пл.Совершеннолетия-Портовая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Лермонтова-Парковая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0865C0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5C0" w:rsidRPr="007F3835" w:rsidRDefault="000865C0" w:rsidP="000865C0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Находка-Майдзуру»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867E59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867E59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59" w:rsidRPr="007F3835" w:rsidRDefault="000652EF" w:rsidP="00867E5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бульвара Энтузиастов МЖК в г.Находка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левого берега р. Каменка /Находкинский пр. от угла здания  ул. Озерный № 12 до моста ул. Постышева/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правого берега р. Каменка /прогулочная зона от здания ул. Малиновского, 32 до пер. Низменный/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в сквере ул. Спортивная, 16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в сквере ост. «Р/порт» Находкинский пр. 66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/0,9м2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на подпорной стенке в районе а/остановки «Ленинская»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кустарника «живая изгородь» от КПП до а/остановки «Тихоокеанская»/; м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сирени; дерена  (в районе ул. Малиновского, 1а-4а; в районе ул. Озерная, 12) шт./м кв.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кедра; м кв.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0652EF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  в мкр. п Врангель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652EF" w:rsidRPr="00334397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0652EF" w:rsidRPr="00334397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в мкр. Ливадия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D66343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0652EF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м2;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/0,716 м2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652EF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652EF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«Балкия»/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52EF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652EF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Озерном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0652EF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(вейгела)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/0,2м2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Перевальная – ул. Шевченко – Находкинский пр. /в районе МБОУ СШ № 7 по ул. Шевченко, 1/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посадки можжевельника, форзиции,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0652EF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ул.Луначарского,1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652EF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0652EF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вейгела, сирень, луизиания)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0652EF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0652EF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0652EF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 вдоль Находкинского пр. /со стороны ж/д вокзала «ст. Тихоокеанская»/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0652EF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 в районе а/вокзала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Рабатки на Находкинском пр-те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«Орден» и «Фейерверк» в р-не КПП на пл.Совершеннолетия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0652EF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по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0652EF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по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сквер 356 м на юго-восток от здания по адресу: г.Находка, мкр.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  <w:tr w:rsidR="000652EF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2EF" w:rsidRPr="005128F1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дома №15 по ул.Арсеньева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5128F1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EF" w:rsidRPr="007F3835" w:rsidRDefault="000652EF" w:rsidP="000652EF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7F3835" w:rsidRPr="007F3835" w:rsidRDefault="007F3835" w:rsidP="00BF5629">
      <w:pPr>
        <w:tabs>
          <w:tab w:val="left" w:pos="10348"/>
        </w:tabs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214CE5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1B7488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(предварительный)</w:t>
      </w:r>
    </w:p>
    <w:p w:rsidR="007F3835" w:rsidRPr="001B7488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7F383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7F3835" w:rsidRPr="007F3835" w:rsidTr="00214CE5">
        <w:tc>
          <w:tcPr>
            <w:tcW w:w="773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14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7F3835" w:rsidRPr="007F3835" w:rsidRDefault="007F3835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Лестница по ул.Арсеньева от д.8 к д.9,10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п.Южно-Морской ул.Комсомольская от д.6 к д.6а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п.Южно-Морской от ул.Победы д.2 к ул.Комсомольской д.7а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п.Южно-Морской от ул.Победы, от д.2 к д.3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214CE5" w:rsidRPr="005779F2" w:rsidTr="00214CE5">
        <w:tc>
          <w:tcPr>
            <w:tcW w:w="773" w:type="dxa"/>
            <w:vAlign w:val="center"/>
          </w:tcPr>
          <w:p w:rsidR="00214CE5" w:rsidRPr="005779F2" w:rsidRDefault="00214CE5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214CE5" w:rsidRPr="000E0069" w:rsidRDefault="00214CE5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0E006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214CE5" w:rsidRPr="005779F2" w:rsidRDefault="00214CE5" w:rsidP="007F3835">
            <w:pPr>
              <w:jc w:val="center"/>
              <w:rPr>
                <w:rFonts w:ascii="Times New Roman" w:hAnsi="Times New Roman" w:cs="Times New Roman"/>
              </w:rPr>
            </w:pPr>
            <w:r w:rsidRPr="005779F2">
              <w:rPr>
                <w:rFonts w:ascii="Times New Roman" w:hAnsi="Times New Roman" w:cs="Times New Roman"/>
              </w:rPr>
              <w:t>2021</w:t>
            </w:r>
          </w:p>
        </w:tc>
      </w:tr>
      <w:tr w:rsidR="00B17B1C" w:rsidRPr="005779F2" w:rsidTr="00214CE5">
        <w:tc>
          <w:tcPr>
            <w:tcW w:w="773" w:type="dxa"/>
            <w:vAlign w:val="center"/>
          </w:tcPr>
          <w:p w:rsidR="00B17B1C" w:rsidRPr="00214CE5" w:rsidRDefault="00B17B1C" w:rsidP="00D663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B17B1C" w:rsidRPr="000E0069" w:rsidRDefault="003755C8" w:rsidP="00AD6170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зона в районе ул.Молодежная, 7</w:t>
            </w:r>
          </w:p>
        </w:tc>
        <w:tc>
          <w:tcPr>
            <w:tcW w:w="3402" w:type="dxa"/>
            <w:vAlign w:val="center"/>
          </w:tcPr>
          <w:p w:rsidR="00B17B1C" w:rsidRPr="005779F2" w:rsidRDefault="003755C8" w:rsidP="007F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17B1C" w:rsidRPr="005779F2" w:rsidTr="00214CE5">
        <w:tc>
          <w:tcPr>
            <w:tcW w:w="773" w:type="dxa"/>
            <w:vAlign w:val="center"/>
          </w:tcPr>
          <w:p w:rsidR="00B17B1C" w:rsidRPr="00214CE5" w:rsidRDefault="00B17B1C" w:rsidP="00D663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4" w:type="dxa"/>
            <w:vAlign w:val="center"/>
          </w:tcPr>
          <w:p w:rsidR="00B17B1C" w:rsidRPr="00214CE5" w:rsidRDefault="00B17B1C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Лестница по ул.Пограничной, возле домов 24-26, 26-28</w:t>
            </w:r>
          </w:p>
        </w:tc>
        <w:tc>
          <w:tcPr>
            <w:tcW w:w="3402" w:type="dxa"/>
          </w:tcPr>
          <w:p w:rsidR="00B17B1C" w:rsidRPr="00214CE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2022</w:t>
            </w:r>
          </w:p>
        </w:tc>
      </w:tr>
      <w:tr w:rsidR="00B17B1C" w:rsidRPr="007F3835" w:rsidTr="00214CE5">
        <w:tc>
          <w:tcPr>
            <w:tcW w:w="773" w:type="dxa"/>
            <w:vAlign w:val="center"/>
          </w:tcPr>
          <w:p w:rsidR="00B17B1C" w:rsidRPr="00214CE5" w:rsidRDefault="00B17B1C" w:rsidP="00D663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B17B1C" w:rsidRPr="00214CE5" w:rsidRDefault="00B17B1C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Лестница между зданиями ул.Спортивная,д.1 и ул.Спортивная, д.7 до ул.Ленинградская, д.22</w:t>
            </w:r>
          </w:p>
        </w:tc>
        <w:tc>
          <w:tcPr>
            <w:tcW w:w="3402" w:type="dxa"/>
          </w:tcPr>
          <w:p w:rsidR="00B17B1C" w:rsidRPr="00214CE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</w:p>
          <w:p w:rsidR="00B17B1C" w:rsidRPr="00214CE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2022</w:t>
            </w:r>
          </w:p>
        </w:tc>
      </w:tr>
      <w:tr w:rsidR="00B17B1C" w:rsidRPr="007F3835" w:rsidTr="00214CE5">
        <w:tc>
          <w:tcPr>
            <w:tcW w:w="773" w:type="dxa"/>
            <w:vAlign w:val="center"/>
          </w:tcPr>
          <w:p w:rsidR="00B17B1C" w:rsidRPr="00214CE5" w:rsidRDefault="00B17B1C" w:rsidP="00D663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B17B1C" w:rsidRPr="00214CE5" w:rsidRDefault="00B17B1C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Лестница и пешеходная зона от Находкинский пр-т, д.116 до ул.Ленинградская</w:t>
            </w:r>
          </w:p>
        </w:tc>
        <w:tc>
          <w:tcPr>
            <w:tcW w:w="3402" w:type="dxa"/>
          </w:tcPr>
          <w:p w:rsidR="00B17B1C" w:rsidRPr="00214CE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2023</w:t>
            </w:r>
          </w:p>
        </w:tc>
      </w:tr>
      <w:tr w:rsidR="00B17B1C" w:rsidRPr="007F3835" w:rsidTr="00214CE5">
        <w:tc>
          <w:tcPr>
            <w:tcW w:w="773" w:type="dxa"/>
            <w:vAlign w:val="center"/>
          </w:tcPr>
          <w:p w:rsidR="00B17B1C" w:rsidRPr="007F3835" w:rsidRDefault="00B17B1C" w:rsidP="00D6634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B17B1C" w:rsidRPr="00214CE5" w:rsidRDefault="00B17B1C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Лестница от автобусной остановки «Детские товары» по ул.Постышева к ул.Дзержинского, д.13</w:t>
            </w:r>
          </w:p>
        </w:tc>
        <w:tc>
          <w:tcPr>
            <w:tcW w:w="3402" w:type="dxa"/>
          </w:tcPr>
          <w:p w:rsidR="00B17B1C" w:rsidRPr="00214CE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</w:p>
          <w:p w:rsidR="00B17B1C" w:rsidRPr="00214CE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  <w:r w:rsidRPr="00214CE5">
              <w:rPr>
                <w:rFonts w:ascii="Times New Roman" w:hAnsi="Times New Roman" w:cs="Times New Roman"/>
              </w:rPr>
              <w:t>2024</w:t>
            </w:r>
          </w:p>
        </w:tc>
      </w:tr>
      <w:tr w:rsidR="00B17B1C" w:rsidRPr="007F3835" w:rsidTr="00214CE5">
        <w:tc>
          <w:tcPr>
            <w:tcW w:w="773" w:type="dxa"/>
            <w:vAlign w:val="center"/>
          </w:tcPr>
          <w:p w:rsidR="00B17B1C" w:rsidRPr="007F3835" w:rsidRDefault="00B17B1C" w:rsidP="007F3835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4" w:type="dxa"/>
            <w:vAlign w:val="center"/>
          </w:tcPr>
          <w:p w:rsidR="00B17B1C" w:rsidRPr="007F3835" w:rsidRDefault="00B17B1C" w:rsidP="00AD6170">
            <w:pPr>
              <w:suppressAutoHyphens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 xml:space="preserve">Лестница </w:t>
            </w:r>
            <w:r>
              <w:rPr>
                <w:rFonts w:ascii="Times New Roman" w:hAnsi="Times New Roman" w:cs="Times New Roman"/>
              </w:rPr>
              <w:t>от автобусной остановки «Детские товары» по ул.Постышева к ул.Врубеля</w:t>
            </w:r>
          </w:p>
        </w:tc>
        <w:tc>
          <w:tcPr>
            <w:tcW w:w="3402" w:type="dxa"/>
          </w:tcPr>
          <w:p w:rsidR="00B17B1C" w:rsidRPr="007F3835" w:rsidRDefault="00B17B1C" w:rsidP="007F3835">
            <w:pPr>
              <w:jc w:val="center"/>
              <w:rPr>
                <w:rFonts w:ascii="Times New Roman" w:hAnsi="Times New Roman" w:cs="Times New Roman"/>
              </w:rPr>
            </w:pPr>
            <w:r w:rsidRPr="007F3835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5A1C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 1093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23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2688"/>
        <w:gridCol w:w="2093"/>
      </w:tblGrid>
      <w:tr w:rsidR="000652EF" w:rsidRPr="007B689A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209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EF" w:rsidRPr="007B689A" w:rsidTr="008B143F">
        <w:trPr>
          <w:trHeight w:val="1127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0652EF" w:rsidRPr="004E3857" w:rsidRDefault="000652EF" w:rsidP="008B143F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села Душкино,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FF24FC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г. Находка, с. Душкино, в районе ул. Беляева, д.1</w:t>
            </w:r>
          </w:p>
        </w:tc>
        <w:tc>
          <w:tcPr>
            <w:tcW w:w="2093" w:type="dxa"/>
          </w:tcPr>
          <w:p w:rsidR="000652EF" w:rsidRPr="00FF24FC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2EF" w:rsidRPr="007B689A" w:rsidTr="005A1CFA">
        <w:trPr>
          <w:trHeight w:val="1201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2688" w:type="dxa"/>
          </w:tcPr>
          <w:p w:rsidR="000652EF" w:rsidRPr="0052513E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2093" w:type="dxa"/>
          </w:tcPr>
          <w:p w:rsidR="000652EF" w:rsidRPr="00FF24FC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2EF" w:rsidRPr="007B689A" w:rsidTr="005A1CFA">
        <w:trPr>
          <w:trHeight w:val="487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2093" w:type="dxa"/>
          </w:tcPr>
          <w:p w:rsidR="000652EF" w:rsidRPr="00351FC3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52EF" w:rsidRPr="003523A9" w:rsidTr="005A1CFA">
        <w:trPr>
          <w:trHeight w:val="1006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Бюст Шалвы Георгиевича Надибаидзе, возглавлявшего рыбную промышленность на Дальнем Востоке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2093" w:type="dxa"/>
          </w:tcPr>
          <w:p w:rsidR="000652EF" w:rsidRPr="00932586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по ул. Комсомольская, 2А.</w:t>
            </w:r>
          </w:p>
        </w:tc>
        <w:tc>
          <w:tcPr>
            <w:tcW w:w="2093" w:type="dxa"/>
          </w:tcPr>
          <w:p w:rsidR="000652EF" w:rsidRPr="00932586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52EF" w:rsidRPr="003523A9" w:rsidTr="005A1CFA">
        <w:trPr>
          <w:trHeight w:val="780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932586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2093" w:type="dxa"/>
          </w:tcPr>
          <w:p w:rsidR="000652EF" w:rsidRPr="00932586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52EF" w:rsidRPr="003523A9" w:rsidTr="005A1CFA">
        <w:trPr>
          <w:trHeight w:val="792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Средняя,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2093" w:type="dxa"/>
          </w:tcPr>
          <w:p w:rsidR="000652EF" w:rsidRPr="0052513E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652EF" w:rsidRPr="003523A9" w:rsidTr="005A1CFA">
        <w:trPr>
          <w:trHeight w:val="804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2093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652EF" w:rsidRPr="003523A9" w:rsidTr="008B143F">
        <w:trPr>
          <w:trHeight w:val="1009"/>
        </w:trPr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2093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2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0652EF" w:rsidRPr="0067254A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Козьмино,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C57BE5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ул. Первостроителей д.3</w:t>
            </w: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2688" w:type="dxa"/>
          </w:tcPr>
          <w:p w:rsidR="000652EF" w:rsidRPr="00C57BE5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Скульптура Женщина с птицей «Мир», установленная в честь 30-летия породнения городов Находка и Майдзуру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652EF" w:rsidRPr="003523A9" w:rsidTr="008B143F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Памятник героическому труду рабочих рыбокомбината «Тафуин» в годы Великой Отечественной войны</w:t>
            </w:r>
          </w:p>
        </w:tc>
        <w:tc>
          <w:tcPr>
            <w:tcW w:w="2688" w:type="dxa"/>
          </w:tcPr>
          <w:p w:rsidR="000652EF" w:rsidRPr="004E3857" w:rsidRDefault="000652EF" w:rsidP="008B143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 Южно-Морской, на территории базы ЗАО «Южморрыбфлот», в районе дома по ул. Заводская, 18</w:t>
            </w:r>
          </w:p>
        </w:tc>
        <w:tc>
          <w:tcPr>
            <w:tcW w:w="2093" w:type="dxa"/>
          </w:tcPr>
          <w:p w:rsidR="000652EF" w:rsidRPr="00C57BE5" w:rsidRDefault="000652EF" w:rsidP="008B143F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D66343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№1093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E207D4" w:rsidRPr="007F3835" w:rsidTr="00E207D4">
        <w:trPr>
          <w:trHeight w:val="707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E207D4" w:rsidRPr="00E207D4" w:rsidRDefault="00E207D4" w:rsidP="00E207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42 м на юг от жилого дома по пр-т Мира, 32, общей площадью 1 678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07D4" w:rsidRPr="007F3835" w:rsidTr="00E207D4">
        <w:trPr>
          <w:trHeight w:val="688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E207D4" w:rsidRPr="00E207D4" w:rsidRDefault="00E207D4" w:rsidP="00E207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85 м на юг от здания по ул. Ленинская, 22, общей площадью 3 402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07D4" w:rsidRPr="007F3835" w:rsidTr="00E207D4">
        <w:trPr>
          <w:trHeight w:val="712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E207D4" w:rsidRPr="00E207D4" w:rsidRDefault="00E207D4" w:rsidP="009C39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63 м на запад от жилого дома по ул. Бо</w:t>
            </w:r>
            <w:r w:rsidR="009C3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ситогорская, 26, общей площадью 732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207D4" w:rsidRPr="007F3835" w:rsidTr="00E207D4">
        <w:trPr>
          <w:trHeight w:val="695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E207D4" w:rsidRPr="00E207D4" w:rsidRDefault="00E207D4" w:rsidP="009C39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75 м на северо-запад от жилого дома по ул. Бо</w:t>
            </w:r>
            <w:r w:rsidR="009C39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ситогорская, 2а, общей площадью 12 226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207D4" w:rsidRPr="007F3835" w:rsidTr="00E207D4">
        <w:trPr>
          <w:trHeight w:val="690"/>
        </w:trPr>
        <w:tc>
          <w:tcPr>
            <w:tcW w:w="663" w:type="dxa"/>
          </w:tcPr>
          <w:p w:rsidR="00E207D4" w:rsidRPr="00E207D4" w:rsidRDefault="00E207D4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E207D4" w:rsidRPr="00E207D4" w:rsidRDefault="00E207D4" w:rsidP="00E207D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70 м на восток от жилого дома по б-р Приморский, 3, общей площадью 3 804 кв.м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A4718A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4F74" w:rsidRDefault="001E4F74" w:rsidP="00BF5629">
      <w:pPr>
        <w:pStyle w:val="ConsPlusNormal"/>
        <w:framePr w:w="9925" w:wrap="auto" w:hAnchor="text" w:x="1276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  <w:sectPr w:rsidR="001E4F74" w:rsidSect="00BF5629">
          <w:headerReference w:type="default" r:id="rId15"/>
          <w:pgSz w:w="11905" w:h="16838"/>
          <w:pgMar w:top="851" w:right="706" w:bottom="993" w:left="1560" w:header="0" w:footer="0" w:gutter="0"/>
          <w:cols w:space="720"/>
          <w:titlePg/>
          <w:docGrid w:linePitch="299"/>
        </w:sectPr>
      </w:pPr>
    </w:p>
    <w:p w:rsidR="00466E44" w:rsidRPr="003523A9" w:rsidRDefault="00466E44" w:rsidP="00B73AA7">
      <w:pPr>
        <w:autoSpaceDE w:val="0"/>
        <w:autoSpaceDN w:val="0"/>
        <w:adjustRightInd w:val="0"/>
        <w:spacing w:line="240" w:lineRule="auto"/>
        <w:ind w:left="93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466E44" w:rsidRPr="003523A9" w:rsidSect="008F357C">
      <w:headerReference w:type="default" r:id="rId16"/>
      <w:pgSz w:w="16838" w:h="11906" w:orient="landscape"/>
      <w:pgMar w:top="993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F" w:rsidRDefault="008B143F" w:rsidP="006E7B7D">
      <w:pPr>
        <w:spacing w:after="0" w:line="240" w:lineRule="auto"/>
      </w:pPr>
      <w:r>
        <w:separator/>
      </w:r>
    </w:p>
  </w:endnote>
  <w:endnote w:type="continuationSeparator" w:id="0">
    <w:p w:rsidR="008B143F" w:rsidRDefault="008B143F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F" w:rsidRDefault="008B143F" w:rsidP="006E7B7D">
      <w:pPr>
        <w:spacing w:after="0" w:line="240" w:lineRule="auto"/>
      </w:pPr>
      <w:r>
        <w:separator/>
      </w:r>
    </w:p>
  </w:footnote>
  <w:footnote w:type="continuationSeparator" w:id="0">
    <w:p w:rsidR="008B143F" w:rsidRDefault="008B143F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8B143F" w:rsidRDefault="008B14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3E">
          <w:rPr>
            <w:noProof/>
          </w:rPr>
          <w:t>21</w:t>
        </w:r>
        <w:r>
          <w:fldChar w:fldCharType="end"/>
        </w:r>
      </w:p>
    </w:sdtContent>
  </w:sdt>
  <w:p w:rsidR="008B143F" w:rsidRDefault="008B14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943"/>
      <w:docPartObj>
        <w:docPartGallery w:val="Page Numbers (Top of Page)"/>
        <w:docPartUnique/>
      </w:docPartObj>
    </w:sdtPr>
    <w:sdtEndPr/>
    <w:sdtContent>
      <w:p w:rsidR="008B143F" w:rsidRDefault="008B143F">
        <w:pPr>
          <w:pStyle w:val="a4"/>
          <w:jc w:val="center"/>
        </w:pPr>
      </w:p>
      <w:p w:rsidR="008B143F" w:rsidRDefault="008B14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3E">
          <w:rPr>
            <w:noProof/>
          </w:rPr>
          <w:t>31</w:t>
        </w:r>
        <w:r>
          <w:fldChar w:fldCharType="end"/>
        </w:r>
      </w:p>
    </w:sdtContent>
  </w:sdt>
  <w:p w:rsidR="008B143F" w:rsidRDefault="008B14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8B143F" w:rsidRDefault="008B143F">
        <w:pPr>
          <w:pStyle w:val="a4"/>
          <w:jc w:val="center"/>
        </w:pPr>
      </w:p>
      <w:p w:rsidR="008B143F" w:rsidRDefault="008B14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B143F" w:rsidRDefault="008B14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469A"/>
    <w:rsid w:val="000B5161"/>
    <w:rsid w:val="000B5F2E"/>
    <w:rsid w:val="000C57B1"/>
    <w:rsid w:val="000C79E0"/>
    <w:rsid w:val="000D3F4B"/>
    <w:rsid w:val="000D7243"/>
    <w:rsid w:val="000E195C"/>
    <w:rsid w:val="000F4BA4"/>
    <w:rsid w:val="00102361"/>
    <w:rsid w:val="001053E5"/>
    <w:rsid w:val="00107A39"/>
    <w:rsid w:val="00112716"/>
    <w:rsid w:val="0012188B"/>
    <w:rsid w:val="00125499"/>
    <w:rsid w:val="00126B9B"/>
    <w:rsid w:val="001315CB"/>
    <w:rsid w:val="001328F8"/>
    <w:rsid w:val="001370AA"/>
    <w:rsid w:val="001370EC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6A38"/>
    <w:rsid w:val="001B7488"/>
    <w:rsid w:val="001C04C9"/>
    <w:rsid w:val="001C2C4E"/>
    <w:rsid w:val="001C39FD"/>
    <w:rsid w:val="001C3AAC"/>
    <w:rsid w:val="001C6F48"/>
    <w:rsid w:val="001D1040"/>
    <w:rsid w:val="001D1CB2"/>
    <w:rsid w:val="001D257A"/>
    <w:rsid w:val="001D6DC1"/>
    <w:rsid w:val="001E4F74"/>
    <w:rsid w:val="001F2188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638C"/>
    <w:rsid w:val="002E6633"/>
    <w:rsid w:val="002F0D2B"/>
    <w:rsid w:val="002F0E4C"/>
    <w:rsid w:val="002F28D6"/>
    <w:rsid w:val="002F2D87"/>
    <w:rsid w:val="002F4324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5ED"/>
    <w:rsid w:val="003507C2"/>
    <w:rsid w:val="00350F0B"/>
    <w:rsid w:val="00351FC3"/>
    <w:rsid w:val="003523A9"/>
    <w:rsid w:val="0035453A"/>
    <w:rsid w:val="003606AF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71A9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63F5"/>
    <w:rsid w:val="00454709"/>
    <w:rsid w:val="0046258C"/>
    <w:rsid w:val="0046541C"/>
    <w:rsid w:val="00466E44"/>
    <w:rsid w:val="004671BA"/>
    <w:rsid w:val="00467E66"/>
    <w:rsid w:val="00473510"/>
    <w:rsid w:val="004815A8"/>
    <w:rsid w:val="004844F7"/>
    <w:rsid w:val="004849A9"/>
    <w:rsid w:val="00485E8C"/>
    <w:rsid w:val="004913CF"/>
    <w:rsid w:val="004B3AA1"/>
    <w:rsid w:val="004B505E"/>
    <w:rsid w:val="004B6C35"/>
    <w:rsid w:val="004C0A3E"/>
    <w:rsid w:val="004C1A4C"/>
    <w:rsid w:val="004D5F7A"/>
    <w:rsid w:val="004D752C"/>
    <w:rsid w:val="004E033B"/>
    <w:rsid w:val="004E3857"/>
    <w:rsid w:val="004F1489"/>
    <w:rsid w:val="004F2FB9"/>
    <w:rsid w:val="005014F0"/>
    <w:rsid w:val="005100B0"/>
    <w:rsid w:val="005128F1"/>
    <w:rsid w:val="0051311D"/>
    <w:rsid w:val="005162E2"/>
    <w:rsid w:val="005207BE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9088F"/>
    <w:rsid w:val="00695DF4"/>
    <w:rsid w:val="006A216E"/>
    <w:rsid w:val="006A4CBA"/>
    <w:rsid w:val="006A5A8F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6404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66AB"/>
    <w:rsid w:val="007571D8"/>
    <w:rsid w:val="00763E0F"/>
    <w:rsid w:val="00764E72"/>
    <w:rsid w:val="00766E66"/>
    <w:rsid w:val="00771A93"/>
    <w:rsid w:val="00773791"/>
    <w:rsid w:val="007737A1"/>
    <w:rsid w:val="007831D9"/>
    <w:rsid w:val="00787889"/>
    <w:rsid w:val="00794F80"/>
    <w:rsid w:val="00797F8D"/>
    <w:rsid w:val="007A110B"/>
    <w:rsid w:val="007B0FA6"/>
    <w:rsid w:val="007B3883"/>
    <w:rsid w:val="007B689A"/>
    <w:rsid w:val="007C0FBE"/>
    <w:rsid w:val="007C2771"/>
    <w:rsid w:val="007C2CEA"/>
    <w:rsid w:val="007C50AC"/>
    <w:rsid w:val="007C5CD7"/>
    <w:rsid w:val="007C7E31"/>
    <w:rsid w:val="007D03EA"/>
    <w:rsid w:val="007D3441"/>
    <w:rsid w:val="007D5D97"/>
    <w:rsid w:val="007D75F6"/>
    <w:rsid w:val="007E09BC"/>
    <w:rsid w:val="007E31A6"/>
    <w:rsid w:val="007E5335"/>
    <w:rsid w:val="007F170D"/>
    <w:rsid w:val="007F3835"/>
    <w:rsid w:val="007F465C"/>
    <w:rsid w:val="007F734C"/>
    <w:rsid w:val="008004D0"/>
    <w:rsid w:val="00807D18"/>
    <w:rsid w:val="00812177"/>
    <w:rsid w:val="00823E8E"/>
    <w:rsid w:val="00824976"/>
    <w:rsid w:val="00832691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B029A"/>
    <w:rsid w:val="008B1336"/>
    <w:rsid w:val="008B143F"/>
    <w:rsid w:val="008B3478"/>
    <w:rsid w:val="008B4E14"/>
    <w:rsid w:val="008C30C5"/>
    <w:rsid w:val="008C45ED"/>
    <w:rsid w:val="008D3F04"/>
    <w:rsid w:val="008D4BA1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112E8"/>
    <w:rsid w:val="00911C7B"/>
    <w:rsid w:val="0092107E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4A00"/>
    <w:rsid w:val="00985206"/>
    <w:rsid w:val="00985950"/>
    <w:rsid w:val="009859B5"/>
    <w:rsid w:val="00986940"/>
    <w:rsid w:val="0099028A"/>
    <w:rsid w:val="0099029B"/>
    <w:rsid w:val="00990763"/>
    <w:rsid w:val="0099371F"/>
    <w:rsid w:val="009A08D8"/>
    <w:rsid w:val="009A0F09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55427"/>
    <w:rsid w:val="00A61514"/>
    <w:rsid w:val="00A62AB9"/>
    <w:rsid w:val="00A62B5D"/>
    <w:rsid w:val="00A70C11"/>
    <w:rsid w:val="00A70E17"/>
    <w:rsid w:val="00A801B0"/>
    <w:rsid w:val="00A86385"/>
    <w:rsid w:val="00A8693E"/>
    <w:rsid w:val="00A86AC4"/>
    <w:rsid w:val="00A936BE"/>
    <w:rsid w:val="00A97C7C"/>
    <w:rsid w:val="00AA0C40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6170"/>
    <w:rsid w:val="00AD7FE0"/>
    <w:rsid w:val="00AE43B9"/>
    <w:rsid w:val="00AE498C"/>
    <w:rsid w:val="00AF6C50"/>
    <w:rsid w:val="00B00273"/>
    <w:rsid w:val="00B02798"/>
    <w:rsid w:val="00B0329B"/>
    <w:rsid w:val="00B045ED"/>
    <w:rsid w:val="00B10D78"/>
    <w:rsid w:val="00B11D50"/>
    <w:rsid w:val="00B17B1C"/>
    <w:rsid w:val="00B204BB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28DC"/>
    <w:rsid w:val="00B64038"/>
    <w:rsid w:val="00B66928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A5E"/>
    <w:rsid w:val="00BA15A4"/>
    <w:rsid w:val="00BA2927"/>
    <w:rsid w:val="00BA29E9"/>
    <w:rsid w:val="00BA2B2F"/>
    <w:rsid w:val="00BA3414"/>
    <w:rsid w:val="00BB082B"/>
    <w:rsid w:val="00BB4779"/>
    <w:rsid w:val="00BC418F"/>
    <w:rsid w:val="00BC54F3"/>
    <w:rsid w:val="00BD5E53"/>
    <w:rsid w:val="00BD737C"/>
    <w:rsid w:val="00BE0629"/>
    <w:rsid w:val="00BE2ACE"/>
    <w:rsid w:val="00BF043D"/>
    <w:rsid w:val="00BF15C5"/>
    <w:rsid w:val="00BF562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2B35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B8E"/>
    <w:rsid w:val="00DE2D77"/>
    <w:rsid w:val="00DE3724"/>
    <w:rsid w:val="00DE554D"/>
    <w:rsid w:val="00DE7274"/>
    <w:rsid w:val="00DF4CE4"/>
    <w:rsid w:val="00DF4FCD"/>
    <w:rsid w:val="00DF67F1"/>
    <w:rsid w:val="00E030B2"/>
    <w:rsid w:val="00E0377F"/>
    <w:rsid w:val="00E10573"/>
    <w:rsid w:val="00E12CB9"/>
    <w:rsid w:val="00E207D4"/>
    <w:rsid w:val="00E341B0"/>
    <w:rsid w:val="00E347D1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6235"/>
    <w:rsid w:val="00EE2473"/>
    <w:rsid w:val="00EE57F1"/>
    <w:rsid w:val="00EF183E"/>
    <w:rsid w:val="00EF2AC0"/>
    <w:rsid w:val="00EF5090"/>
    <w:rsid w:val="00EF510F"/>
    <w:rsid w:val="00F1154E"/>
    <w:rsid w:val="00F14DB8"/>
    <w:rsid w:val="00F16BE2"/>
    <w:rsid w:val="00F2350E"/>
    <w:rsid w:val="00F26BCF"/>
    <w:rsid w:val="00F339C2"/>
    <w:rsid w:val="00F34153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50CE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34A6"/>
    <w:rsid w:val="00F97DD1"/>
    <w:rsid w:val="00FA3333"/>
    <w:rsid w:val="00FA6CB2"/>
    <w:rsid w:val="00FB50D3"/>
    <w:rsid w:val="00FB5B99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FB47-0C15-4793-A530-DF2CFD3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7306</Words>
  <Characters>41646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2</cp:revision>
  <cp:lastPrinted>2021-03-23T22:56:00Z</cp:lastPrinted>
  <dcterms:created xsi:type="dcterms:W3CDTF">2021-11-12T03:50:00Z</dcterms:created>
  <dcterms:modified xsi:type="dcterms:W3CDTF">2021-11-12T03:50:00Z</dcterms:modified>
</cp:coreProperties>
</file>